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46CDE" w14:textId="77777777" w:rsidR="00095604" w:rsidRDefault="00095604" w:rsidP="00095604">
      <w:pPr>
        <w:widowControl/>
        <w:spacing w:line="240" w:lineRule="auto"/>
        <w:jc w:val="center"/>
        <w:rPr>
          <w:rFonts w:eastAsiaTheme="minorEastAsia"/>
        </w:rPr>
      </w:pPr>
      <w:r>
        <w:rPr>
          <w:rFonts w:eastAsiaTheme="minorEastAsia"/>
          <w:noProof/>
        </w:rPr>
        <mc:AlternateContent>
          <mc:Choice Requires="wps">
            <w:drawing>
              <wp:anchor distT="45720" distB="45720" distL="114300" distR="114300" simplePos="0" relativeHeight="251659264" behindDoc="0" locked="0" layoutInCell="1" allowOverlap="1" wp14:anchorId="44405599" wp14:editId="3CD223C9">
                <wp:simplePos x="0" y="0"/>
                <wp:positionH relativeFrom="margin">
                  <wp:posOffset>2154460</wp:posOffset>
                </wp:positionH>
                <wp:positionV relativeFrom="paragraph">
                  <wp:posOffset>-307667</wp:posOffset>
                </wp:positionV>
                <wp:extent cx="1602463" cy="422275"/>
                <wp:effectExtent l="0" t="0" r="0" b="0"/>
                <wp:wrapNone/>
                <wp:docPr id="8704424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463" cy="422275"/>
                        </a:xfrm>
                        <a:prstGeom prst="rect">
                          <a:avLst/>
                        </a:prstGeom>
                        <a:solidFill>
                          <a:srgbClr val="FFFFFF"/>
                        </a:solidFill>
                        <a:ln w="9525">
                          <a:noFill/>
                          <a:miter lim="800000"/>
                        </a:ln>
                      </wps:spPr>
                      <wps:txbx>
                        <w:txbxContent>
                          <w:p w14:paraId="1C8E485A" w14:textId="77777777" w:rsidR="0060147C" w:rsidRDefault="00000000">
                            <w:pPr>
                              <w:rPr>
                                <w:rFonts w:eastAsiaTheme="majorEastAsia" w:cstheme="majorBidi"/>
                                <w:b/>
                                <w:bCs/>
                                <w:sz w:val="32"/>
                                <w:szCs w:val="32"/>
                              </w:rPr>
                            </w:pPr>
                            <w:r>
                              <w:rPr>
                                <w:rFonts w:eastAsiaTheme="majorEastAsia" w:cstheme="majorBidi" w:hint="eastAsia"/>
                                <w:b/>
                                <w:bCs/>
                                <w:sz w:val="32"/>
                                <w:szCs w:val="32"/>
                              </w:rPr>
                              <w:t>Flowcharts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4405599" id="_x0000_t202" coordsize="21600,21600" o:spt="202" path="m,l,21600r21600,l21600,xe">
                <v:stroke joinstyle="miter"/>
                <v:path gradientshapeok="t" o:connecttype="rect"/>
              </v:shapetype>
              <v:shape id="文本框 2" o:spid="_x0000_s1026" type="#_x0000_t202" style="position:absolute;left:0;text-align:left;margin-left:169.65pt;margin-top:-24.25pt;width:126.2pt;height:33.25pt;z-index:251659264;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" stroked="f">
                <v:textbox>
                  <w:txbxContent>
                    <w:p w14:paraId="1C8E485A" w14:textId="77777777" w:rsidR="0060147C" w:rsidRDefault="00000000">
                      <w:pPr>
                        <w:rPr>
                          <w:rFonts w:eastAsiaTheme="majorEastAsia" w:cstheme="majorBidi"/>
                          <w:b/>
                          <w:bCs/>
                          <w:sz w:val="32"/>
                          <w:szCs w:val="32"/>
                        </w:rPr>
                      </w:pPr>
                      <w:r>
                        <w:rPr>
                          <w:rFonts w:eastAsiaTheme="majorEastAsia" w:cstheme="majorBidi" w:hint="eastAsia"/>
                          <w:b/>
                          <w:bCs/>
                          <w:sz w:val="32"/>
                          <w:szCs w:val="32"/>
                        </w:rPr>
                        <w:t>Flowcharts</w:t>
                      </w:r>
                    </w:p>
                  </w:txbxContent>
                </v:textbox>
                <w10:wrap anchorx="margin"/>
              </v:shape>
            </w:pict>
          </mc:Fallback>
        </mc:AlternateContent>
      </w:r>
      <w:r w:rsidRPr="00095604">
        <w:rPr>
          <w:rFonts w:eastAsiaTheme="minorEastAsia"/>
          <w:noProof/>
        </w:rPr>
        <w:drawing>
          <wp:inline distT="0" distB="0" distL="0" distR="0" wp14:anchorId="105D4DF7" wp14:editId="78D71166">
            <wp:extent cx="4187460" cy="8361738"/>
            <wp:effectExtent l="0" t="0" r="3810" b="1270"/>
            <wp:docPr id="19881168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6251" cy="8379291"/>
                    </a:xfrm>
                    <a:prstGeom prst="rect">
                      <a:avLst/>
                    </a:prstGeom>
                    <a:noFill/>
                    <a:ln>
                      <a:noFill/>
                    </a:ln>
                  </pic:spPr>
                </pic:pic>
              </a:graphicData>
            </a:graphic>
          </wp:inline>
        </w:drawing>
      </w:r>
    </w:p>
    <w:p w14:paraId="5C1EE89D" w14:textId="4A43EE29" w:rsidR="0060147C" w:rsidRPr="00095604" w:rsidRDefault="00000000" w:rsidP="00095604">
      <w:pPr>
        <w:widowControl/>
        <w:spacing w:line="240" w:lineRule="auto"/>
        <w:jc w:val="left"/>
        <w:rPr>
          <w:rFonts w:eastAsiaTheme="minorEastAsia"/>
        </w:rPr>
      </w:pPr>
      <w:r>
        <w:rPr>
          <w:rFonts w:eastAsiaTheme="minorEastAsia" w:hint="eastAsia"/>
          <w:sz w:val="22"/>
          <w:szCs w:val="21"/>
        </w:rPr>
        <w:t>(</w:t>
      </w:r>
      <w:r>
        <w:rPr>
          <w:sz w:val="22"/>
          <w:szCs w:val="21"/>
        </w:rPr>
        <w:t>Continued on the following page</w:t>
      </w:r>
      <w:r>
        <w:rPr>
          <w:rFonts w:eastAsiaTheme="minorEastAsia" w:hint="eastAsia"/>
          <w:sz w:val="22"/>
          <w:szCs w:val="21"/>
        </w:rPr>
        <w:t>)</w:t>
      </w:r>
    </w:p>
    <w:p w14:paraId="28CEC2EA" w14:textId="77777777" w:rsidR="0060147C" w:rsidRDefault="00000000">
      <w:pPr>
        <w:rPr>
          <w:rFonts w:eastAsiaTheme="minorEastAsia"/>
          <w:sz w:val="22"/>
          <w:szCs w:val="21"/>
        </w:rPr>
      </w:pPr>
      <w:r>
        <w:rPr>
          <w:rFonts w:eastAsiaTheme="minorEastAsia" w:hint="eastAsia"/>
          <w:sz w:val="22"/>
          <w:szCs w:val="21"/>
        </w:rPr>
        <w:lastRenderedPageBreak/>
        <w:t>(</w:t>
      </w:r>
      <w:r>
        <w:rPr>
          <w:sz w:val="22"/>
          <w:szCs w:val="21"/>
        </w:rPr>
        <w:t>Continued</w:t>
      </w:r>
      <w:r>
        <w:rPr>
          <w:rFonts w:eastAsiaTheme="minorEastAsia" w:hint="eastAsia"/>
          <w:sz w:val="22"/>
          <w:szCs w:val="21"/>
        </w:rPr>
        <w:t>)</w:t>
      </w:r>
    </w:p>
    <w:p w14:paraId="1F184E25" w14:textId="42193A00" w:rsidR="0060147C" w:rsidRDefault="00095604">
      <w:pPr>
        <w:widowControl/>
        <w:spacing w:line="240" w:lineRule="auto"/>
        <w:jc w:val="center"/>
        <w:rPr>
          <w:rFonts w:eastAsiaTheme="minorEastAsia"/>
        </w:rPr>
      </w:pPr>
      <w:r w:rsidRPr="00095604">
        <w:rPr>
          <w:rFonts w:eastAsiaTheme="minorEastAsia"/>
          <w:noProof/>
        </w:rPr>
        <w:drawing>
          <wp:inline distT="0" distB="0" distL="0" distR="0" wp14:anchorId="32F232D6" wp14:editId="43BB05B7">
            <wp:extent cx="5731510" cy="5336540"/>
            <wp:effectExtent l="0" t="0" r="2540" b="0"/>
            <wp:docPr id="12082786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336540"/>
                    </a:xfrm>
                    <a:prstGeom prst="rect">
                      <a:avLst/>
                    </a:prstGeom>
                    <a:noFill/>
                    <a:ln>
                      <a:noFill/>
                    </a:ln>
                  </pic:spPr>
                </pic:pic>
              </a:graphicData>
            </a:graphic>
          </wp:inline>
        </w:drawing>
      </w:r>
    </w:p>
    <w:p w14:paraId="027AB1B2" w14:textId="77777777" w:rsidR="0060147C" w:rsidRDefault="00000000">
      <w:pPr>
        <w:widowControl/>
        <w:spacing w:line="240" w:lineRule="auto"/>
        <w:jc w:val="left"/>
        <w:rPr>
          <w:rFonts w:eastAsiaTheme="minorEastAsia"/>
        </w:rPr>
      </w:pPr>
      <w:r>
        <w:rPr>
          <w:rFonts w:eastAsiaTheme="minorEastAsia"/>
        </w:rPr>
        <w:br w:type="page"/>
      </w:r>
    </w:p>
    <w:p w14:paraId="37FF9B62" w14:textId="77777777" w:rsidR="0060147C" w:rsidRDefault="00000000">
      <w:pPr>
        <w:pStyle w:val="1"/>
        <w:rPr>
          <w:rFonts w:eastAsiaTheme="minorEastAsia"/>
        </w:rPr>
      </w:pPr>
      <w:r>
        <w:lastRenderedPageBreak/>
        <w:t xml:space="preserve">Car Data </w:t>
      </w:r>
      <w:r>
        <w:rPr>
          <w:rFonts w:eastAsiaTheme="minorEastAsia" w:hint="eastAsia"/>
        </w:rPr>
        <w:t>Matching</w:t>
      </w:r>
      <w:r>
        <w:t xml:space="preserve"> Report</w:t>
      </w:r>
    </w:p>
    <w:p w14:paraId="63F8CE67" w14:textId="77777777" w:rsidR="0060147C" w:rsidRDefault="00000000">
      <w:pPr>
        <w:pStyle w:val="2"/>
        <w:numPr>
          <w:ilvl w:val="0"/>
          <w:numId w:val="1"/>
        </w:numPr>
        <w:jc w:val="center"/>
      </w:pPr>
      <w:r>
        <w:t>Initial Data Analysis and Strategy Development</w:t>
      </w:r>
    </w:p>
    <w:p w14:paraId="5B13210E" w14:textId="77777777" w:rsidR="0060147C" w:rsidRDefault="00000000">
      <w:pPr>
        <w:ind w:firstLine="420"/>
        <w:rPr>
          <w:rFonts w:eastAsiaTheme="minorEastAsia"/>
        </w:rPr>
      </w:pPr>
      <w:r>
        <w:t>Our team began by analyzing two primary datasets: `autoswithout.csv` containing vehicle listings with unstructured name fields, and `model_and_brand.csv` containing standardized brand-model relationships. Early observations indicated that inconsistenc</w:t>
      </w:r>
      <w:r>
        <w:rPr>
          <w:rFonts w:eastAsiaTheme="minorEastAsia" w:hint="eastAsia"/>
        </w:rPr>
        <w:t>y</w:t>
      </w:r>
      <w:r>
        <w:t xml:space="preserve"> in the "name" field, such as variations in brand or model names, irregular capitalization, and special characters, posed significant challenges to accurately matching vehicle information across the datasets.</w:t>
      </w:r>
      <w:r>
        <w:rPr>
          <w:rFonts w:hint="eastAsia"/>
        </w:rPr>
        <w:t xml:space="preserve"> W</w:t>
      </w:r>
      <w:r>
        <w:t xml:space="preserve">e </w:t>
      </w:r>
      <w:r>
        <w:rPr>
          <w:rFonts w:hint="eastAsia"/>
        </w:rPr>
        <w:t xml:space="preserve">also </w:t>
      </w:r>
      <w:r>
        <w:t xml:space="preserve">found the brand-model </w:t>
      </w:r>
      <w:r>
        <w:rPr>
          <w:rFonts w:eastAsiaTheme="minorEastAsia" w:hint="eastAsia"/>
        </w:rPr>
        <w:t>relationships</w:t>
      </w:r>
      <w:r>
        <w:t xml:space="preserve"> highly inconsistent, ranging from names that included neither brand nor model, to those containing multiple brands or models. This complexity required a repeated matching process to identify and isolate unique brands accurately.</w:t>
      </w:r>
    </w:p>
    <w:p w14:paraId="07E7F58C" w14:textId="77777777" w:rsidR="0060147C" w:rsidRDefault="00000000">
      <w:pPr>
        <w:pStyle w:val="2"/>
        <w:numPr>
          <w:ilvl w:val="0"/>
          <w:numId w:val="1"/>
        </w:numPr>
        <w:jc w:val="center"/>
      </w:pPr>
      <w:r>
        <w:t xml:space="preserve">Resolving Matching Challenges </w:t>
      </w:r>
    </w:p>
    <w:p w14:paraId="68C3BF11" w14:textId="77777777" w:rsidR="0060147C" w:rsidRDefault="00000000">
      <w:pPr>
        <w:ind w:firstLine="420"/>
      </w:pPr>
      <w:r>
        <w:t xml:space="preserve">To </w:t>
      </w:r>
      <w:r>
        <w:rPr>
          <w:rFonts w:hint="eastAsia"/>
        </w:rPr>
        <w:t>solve</w:t>
      </w:r>
      <w:r>
        <w:t xml:space="preserve"> these </w:t>
      </w:r>
      <w:r>
        <w:rPr>
          <w:rFonts w:hint="eastAsia"/>
        </w:rPr>
        <w:t>problems</w:t>
      </w:r>
      <w:r>
        <w:t xml:space="preserve">, we developed a structured approach consisting of </w:t>
      </w:r>
      <w:r>
        <w:rPr>
          <w:rFonts w:eastAsiaTheme="minorEastAsia" w:hint="eastAsia"/>
        </w:rPr>
        <w:t>three</w:t>
      </w:r>
      <w:r>
        <w:t xml:space="preserve"> main phases: Data Standardization, a Multi-Pass Matching Strategy, and Special Case Handling. This multi-phase workflow allowed us to address issues progressively, refining matches with each pass and ultimately increasing our accuracy and reducing ambiguities.</w:t>
      </w:r>
    </w:p>
    <w:p w14:paraId="3885ECC2" w14:textId="77777777" w:rsidR="0060147C" w:rsidRDefault="00000000">
      <w:pPr>
        <w:pStyle w:val="3"/>
        <w:numPr>
          <w:ilvl w:val="1"/>
          <w:numId w:val="1"/>
        </w:numPr>
      </w:pPr>
      <w:r>
        <w:t>Data Standardization</w:t>
      </w:r>
    </w:p>
    <w:p w14:paraId="04D89271" w14:textId="77777777" w:rsidR="0060147C" w:rsidRDefault="00000000">
      <w:pPr>
        <w:ind w:firstLine="420"/>
      </w:pPr>
      <w:r>
        <w:t>We standardized all entries to ensure consistency, starting by converting text to lowercase, splitting the name fields by underscores, and removing special characters. This process enabled easier component isolation, ensuring reliable matching criteria. Initial values for "brand" and "model" columns were set to "NA" to track unmatched entries across phases.</w:t>
      </w:r>
      <w:r>
        <w:rPr>
          <w:rFonts w:hint="eastAsia"/>
        </w:rPr>
        <w:t xml:space="preserve"> </w:t>
      </w:r>
    </w:p>
    <w:p w14:paraId="0376A2DD" w14:textId="77777777" w:rsidR="0060147C" w:rsidRDefault="00000000">
      <w:pPr>
        <w:ind w:firstLine="420"/>
      </w:pPr>
      <w:r>
        <w:rPr>
          <w:rFonts w:hint="eastAsia"/>
        </w:rPr>
        <w:t>Besides, g</w:t>
      </w:r>
      <w:r>
        <w:t>iven that many entries had varied forms of brand names (e.g., "Mercedes" and "Benz" appearing separately), we standardized these variations. We expanded abbreviations and corrected common variations to reduce inconsistencies that could prevent accurate matches.</w:t>
      </w:r>
    </w:p>
    <w:p w14:paraId="7952B965" w14:textId="77777777" w:rsidR="0060147C" w:rsidRDefault="00000000">
      <w:pPr>
        <w:pStyle w:val="3"/>
        <w:numPr>
          <w:ilvl w:val="1"/>
          <w:numId w:val="1"/>
        </w:numPr>
      </w:pPr>
      <w:r>
        <w:t>Multi-Pass Matching Strategy</w:t>
      </w:r>
    </w:p>
    <w:p w14:paraId="759F51F9" w14:textId="77777777" w:rsidR="0060147C" w:rsidRDefault="00000000">
      <w:pPr>
        <w:ind w:firstLine="420"/>
      </w:pPr>
      <w:r>
        <w:t>To address unique matching requirements, we developed a multi-pass approach:</w:t>
      </w:r>
    </w:p>
    <w:p w14:paraId="7C18A814" w14:textId="77777777" w:rsidR="0060147C" w:rsidRDefault="00000000">
      <w:pPr>
        <w:pStyle w:val="4"/>
      </w:pPr>
      <w:r>
        <w:t xml:space="preserve">First Pass: Direct Brand </w:t>
      </w:r>
      <w:r>
        <w:rPr>
          <w:rFonts w:eastAsiaTheme="minorEastAsia" w:hint="eastAsia"/>
        </w:rPr>
        <w:t xml:space="preserve">and Model </w:t>
      </w:r>
      <w:r>
        <w:t>Matching</w:t>
      </w:r>
    </w:p>
    <w:p w14:paraId="58F4F363" w14:textId="77777777" w:rsidR="0060147C" w:rsidRDefault="00000000">
      <w:pPr>
        <w:ind w:firstLine="420"/>
        <w:rPr>
          <w:rFonts w:eastAsiaTheme="minorEastAsia"/>
        </w:rPr>
      </w:pPr>
      <w:r>
        <w:t>We first focused on exact brand matches within each entry’s split components. Unique matches were assigned to their corresponding brands</w:t>
      </w:r>
      <w:r>
        <w:rPr>
          <w:rFonts w:eastAsiaTheme="minorEastAsia" w:hint="eastAsia"/>
        </w:rPr>
        <w:t xml:space="preserve">. </w:t>
      </w:r>
      <w:r>
        <w:rPr>
          <w:rFonts w:eastAsiaTheme="minorEastAsia"/>
        </w:rPr>
        <w:t xml:space="preserve">Next, we </w:t>
      </w:r>
      <w:r>
        <w:rPr>
          <w:rFonts w:eastAsiaTheme="minorEastAsia" w:hint="eastAsia"/>
        </w:rPr>
        <w:t xml:space="preserve">want to infer the brand information from models. We then </w:t>
      </w:r>
      <w:r>
        <w:rPr>
          <w:rFonts w:eastAsiaTheme="minorEastAsia"/>
        </w:rPr>
        <w:t>matched car models, assigning the model only when a unique match was found.</w:t>
      </w:r>
      <w:r>
        <w:rPr>
          <w:rFonts w:eastAsiaTheme="minorEastAsia" w:hint="eastAsia"/>
        </w:rPr>
        <w:t xml:space="preserve"> </w:t>
      </w:r>
      <w:r>
        <w:t xml:space="preserve">If no match or multiple matches occurred, the entry was marked as "NA" to prevent incorrect assignments. This process ensured that only precise matches were </w:t>
      </w:r>
      <w:r>
        <w:lastRenderedPageBreak/>
        <w:t>retained, with unmatched entries flagged for further review.</w:t>
      </w:r>
    </w:p>
    <w:p w14:paraId="4829FB00" w14:textId="77777777" w:rsidR="0060147C" w:rsidRDefault="00000000">
      <w:pPr>
        <w:pStyle w:val="4"/>
      </w:pPr>
      <w:r>
        <w:t>Second Pass: Model-Based Brand Inference</w:t>
      </w:r>
    </w:p>
    <w:p w14:paraId="0D8F0745" w14:textId="77777777" w:rsidR="0060147C" w:rsidRDefault="00000000">
      <w:pPr>
        <w:ind w:firstLine="420"/>
        <w:rPr>
          <w:rFonts w:eastAsiaTheme="minorEastAsia"/>
          <w:b/>
          <w:bCs/>
        </w:rPr>
      </w:pPr>
      <w:r>
        <w:t>Entries without direct brand matches were re-examined by inferring the brand from model names. When a model matched a brand, the corresponding brand was assigned. However, if multiple models or brands were found, or if the inference was ambiguous, the entry was set to "NA" to prevent misattribution. This ensures that only unique and confident matches are retained, while ambiguous cases are flagged for further review.</w:t>
      </w:r>
    </w:p>
    <w:p w14:paraId="4316947E" w14:textId="77777777" w:rsidR="0060147C" w:rsidRDefault="00000000">
      <w:pPr>
        <w:pStyle w:val="3"/>
        <w:numPr>
          <w:ilvl w:val="1"/>
          <w:numId w:val="1"/>
        </w:numPr>
      </w:pPr>
      <w:r>
        <w:t>Special Case Handling</w:t>
      </w:r>
    </w:p>
    <w:p w14:paraId="544B88FA" w14:textId="77777777" w:rsidR="0060147C" w:rsidRDefault="00000000">
      <w:pPr>
        <w:ind w:firstLine="420"/>
        <w:rPr>
          <w:rFonts w:eastAsiaTheme="minorEastAsia"/>
        </w:rPr>
      </w:pPr>
      <w:r>
        <w:t>A subset of entries presented additional challenges that required brand-specific processing</w:t>
      </w:r>
      <w:r>
        <w:rPr>
          <w:rFonts w:eastAsiaTheme="minorEastAsia" w:hint="eastAsia"/>
        </w:rPr>
        <w:t xml:space="preserve">. </w:t>
      </w:r>
      <w:r>
        <w:rPr>
          <w:rFonts w:eastAsiaTheme="minorEastAsia"/>
        </w:rPr>
        <w:t>We created standardization rules to handle variations in abbreviations and series identifiers, ensuring consistent mapping of brands and models</w:t>
      </w:r>
      <w:r>
        <w:rPr>
          <w:rFonts w:eastAsiaTheme="minorEastAsia" w:hint="eastAsia"/>
        </w:rPr>
        <w:t>.</w:t>
      </w:r>
    </w:p>
    <w:p w14:paraId="70D2CB8A" w14:textId="77777777" w:rsidR="0060147C" w:rsidRDefault="00000000">
      <w:pPr>
        <w:pStyle w:val="a5"/>
        <w:numPr>
          <w:ilvl w:val="2"/>
          <w:numId w:val="2"/>
        </w:numPr>
        <w:ind w:firstLineChars="0"/>
        <w:jc w:val="left"/>
        <w:outlineLvl w:val="3"/>
        <w:rPr>
          <w:rStyle w:val="40"/>
          <w:rFonts w:eastAsiaTheme="minorEastAsia" w:cstheme="minorBidi"/>
          <w:b w:val="0"/>
          <w:bCs w:val="0"/>
          <w:sz w:val="24"/>
          <w:szCs w:val="22"/>
        </w:rPr>
      </w:pPr>
      <w:r>
        <w:rPr>
          <w:rStyle w:val="40"/>
          <w:rFonts w:eastAsia="Calibri"/>
        </w:rPr>
        <w:t>Series Identification</w:t>
      </w:r>
    </w:p>
    <w:p w14:paraId="61D75C79" w14:textId="77777777" w:rsidR="0060147C" w:rsidRDefault="00000000">
      <w:pPr>
        <w:ind w:firstLine="420"/>
        <w:jc w:val="left"/>
        <w:rPr>
          <w:rStyle w:val="40"/>
          <w:rFonts w:eastAsiaTheme="minorEastAsia" w:cstheme="minorBidi"/>
          <w:b w:val="0"/>
          <w:bCs w:val="0"/>
          <w:sz w:val="24"/>
          <w:szCs w:val="22"/>
        </w:rPr>
      </w:pPr>
      <w:r>
        <w:rPr>
          <w:rFonts w:eastAsiaTheme="minorEastAsia"/>
        </w:rPr>
        <w:t xml:space="preserve">We discovered that BMW's model names were too specific (e.g., </w:t>
      </w:r>
      <w:r>
        <w:t>"</w:t>
      </w:r>
      <w:r>
        <w:rPr>
          <w:rFonts w:eastAsiaTheme="minorEastAsia"/>
        </w:rPr>
        <w:t>316i</w:t>
      </w:r>
      <w:r>
        <w:t>"</w:t>
      </w:r>
      <w:r>
        <w:rPr>
          <w:rFonts w:eastAsiaTheme="minorEastAsia"/>
        </w:rPr>
        <w:t xml:space="preserve">) while the given model list used broader categories (e.g., </w:t>
      </w:r>
      <w:r>
        <w:t>"</w:t>
      </w:r>
      <w:r>
        <w:rPr>
          <w:rFonts w:eastAsiaTheme="minorEastAsia"/>
        </w:rPr>
        <w:t>3er</w:t>
      </w:r>
      <w:r>
        <w:t>"</w:t>
      </w:r>
      <w:r>
        <w:rPr>
          <w:rFonts w:eastAsiaTheme="minorEastAsia"/>
        </w:rPr>
        <w:t xml:space="preserve">). To address this, we implemented pattern matching for BMW’s numeric series (e.g., </w:t>
      </w:r>
      <w:r>
        <w:t>"</w:t>
      </w:r>
      <w:r>
        <w:rPr>
          <w:rFonts w:eastAsiaTheme="minorEastAsia"/>
        </w:rPr>
        <w:t>1er,</w:t>
      </w:r>
      <w:r>
        <w:t xml:space="preserve"> "</w:t>
      </w:r>
      <w:r>
        <w:rPr>
          <w:rFonts w:eastAsiaTheme="minorEastAsia"/>
        </w:rPr>
        <w:t xml:space="preserve"> </w:t>
      </w:r>
      <w:r>
        <w:t>"</w:t>
      </w:r>
      <w:r>
        <w:rPr>
          <w:rFonts w:eastAsiaTheme="minorEastAsia"/>
        </w:rPr>
        <w:t>3er,</w:t>
      </w:r>
      <w:r>
        <w:t xml:space="preserve"> "</w:t>
      </w:r>
      <w:r>
        <w:rPr>
          <w:rFonts w:eastAsiaTheme="minorEastAsia"/>
        </w:rPr>
        <w:t xml:space="preserve"> </w:t>
      </w:r>
      <w:r>
        <w:t>"</w:t>
      </w:r>
      <w:r>
        <w:rPr>
          <w:rFonts w:eastAsiaTheme="minorEastAsia"/>
        </w:rPr>
        <w:t>5er</w:t>
      </w:r>
      <w:r>
        <w:t>"</w:t>
      </w:r>
      <w:r>
        <w:rPr>
          <w:rFonts w:eastAsiaTheme="minorEastAsia"/>
        </w:rPr>
        <w:t>) and added special handling for the X, Z, and M series vehicles.</w:t>
      </w:r>
      <w:r>
        <w:rPr>
          <w:rFonts w:eastAsiaTheme="minorEastAsia" w:hint="eastAsia"/>
        </w:rPr>
        <w:t xml:space="preserve"> </w:t>
      </w:r>
      <w:r>
        <w:rPr>
          <w:rStyle w:val="40"/>
          <w:rFonts w:eastAsiaTheme="minorEastAsia" w:cstheme="minorBidi"/>
          <w:b w:val="0"/>
          <w:bCs w:val="0"/>
          <w:sz w:val="24"/>
          <w:szCs w:val="22"/>
        </w:rPr>
        <w:t>This allowed us to correctly identify the model even when it included only numeric or letter indicators.</w:t>
      </w:r>
    </w:p>
    <w:p w14:paraId="1E038B2A" w14:textId="77777777" w:rsidR="0060147C" w:rsidRDefault="00000000">
      <w:pPr>
        <w:ind w:firstLine="420"/>
        <w:rPr>
          <w:rFonts w:eastAsiaTheme="minorEastAsia"/>
        </w:rPr>
      </w:pPr>
      <w:r>
        <w:rPr>
          <w:rFonts w:eastAsiaTheme="minorEastAsia" w:hint="eastAsia"/>
        </w:rPr>
        <w:t xml:space="preserve">Similarly, we handled </w:t>
      </w:r>
      <w:r>
        <w:rPr>
          <w:rFonts w:eastAsiaTheme="minorEastAsia"/>
        </w:rPr>
        <w:t>following</w:t>
      </w:r>
      <w:r>
        <w:rPr>
          <w:rFonts w:eastAsiaTheme="minorEastAsia" w:hint="eastAsia"/>
        </w:rPr>
        <w:t xml:space="preserve"> brands:</w:t>
      </w:r>
    </w:p>
    <w:p w14:paraId="08FE91BE" w14:textId="77777777" w:rsidR="0060147C" w:rsidRDefault="00000000">
      <w:pPr>
        <w:adjustRightInd w:val="0"/>
        <w:ind w:leftChars="150" w:left="360"/>
        <w:rPr>
          <w:rFonts w:eastAsiaTheme="minorEastAsia"/>
        </w:rPr>
      </w:pPr>
      <w:r>
        <w:rPr>
          <w:b/>
          <w:bCs/>
        </w:rPr>
        <w:t>Mercedes-Benz</w:t>
      </w:r>
      <w:r>
        <w:rPr>
          <w:rFonts w:eastAsiaTheme="minorEastAsia" w:hint="eastAsia"/>
          <w:b/>
          <w:bCs/>
        </w:rPr>
        <w:t xml:space="preserve">: </w:t>
      </w:r>
      <w:r>
        <w:t>Created specific handlers for class designations (e.g., "A-Class", "C-Class") and added logic to skip the brand name component due to complex name formats.</w:t>
      </w:r>
    </w:p>
    <w:p w14:paraId="2929E471" w14:textId="77777777" w:rsidR="0060147C" w:rsidRDefault="00000000">
      <w:pPr>
        <w:adjustRightInd w:val="0"/>
        <w:ind w:leftChars="150" w:left="360"/>
        <w:rPr>
          <w:rFonts w:eastAsiaTheme="minorEastAsia"/>
        </w:rPr>
      </w:pPr>
      <w:r>
        <w:rPr>
          <w:b/>
          <w:bCs/>
        </w:rPr>
        <w:t>Ford</w:t>
      </w:r>
      <w:r>
        <w:t>:</w:t>
      </w:r>
      <w:r>
        <w:rPr>
          <w:rFonts w:eastAsiaTheme="minorEastAsia" w:hint="eastAsia"/>
        </w:rPr>
        <w:t xml:space="preserve"> </w:t>
      </w:r>
      <w:r>
        <w:t>Added Ford models like "C-Max" and "S-Max" to prevent misclassification.</w:t>
      </w:r>
    </w:p>
    <w:p w14:paraId="472D824A" w14:textId="77777777" w:rsidR="0060147C" w:rsidRDefault="00000000">
      <w:pPr>
        <w:adjustRightInd w:val="0"/>
        <w:ind w:leftChars="150" w:left="360"/>
        <w:rPr>
          <w:rFonts w:eastAsiaTheme="minorEastAsia"/>
        </w:rPr>
      </w:pPr>
      <w:r>
        <w:rPr>
          <w:b/>
          <w:bCs/>
        </w:rPr>
        <w:t>Mazda</w:t>
      </w:r>
      <w:r>
        <w:t>: Developed custom logic for Mazda’s series (e.g., "Mazda3", "Mazda6") to handle both numeric and letter-based model names.</w:t>
      </w:r>
    </w:p>
    <w:p w14:paraId="37EC3669" w14:textId="77777777" w:rsidR="0060147C" w:rsidRDefault="00000000">
      <w:pPr>
        <w:adjustRightInd w:val="0"/>
        <w:ind w:leftChars="150" w:left="360"/>
      </w:pPr>
      <w:r>
        <w:rPr>
          <w:b/>
          <w:bCs/>
        </w:rPr>
        <w:t>Honda</w:t>
      </w:r>
      <w:r>
        <w:t>:</w:t>
      </w:r>
      <w:r>
        <w:rPr>
          <w:rFonts w:eastAsiaTheme="minorEastAsia" w:hint="eastAsia"/>
        </w:rPr>
        <w:t xml:space="preserve"> </w:t>
      </w:r>
      <w:r>
        <w:t>Implemented recognition for Honda's "CR" series to ensure correct model classification.</w:t>
      </w:r>
    </w:p>
    <w:p w14:paraId="7BF038B3" w14:textId="77777777" w:rsidR="0060147C" w:rsidRDefault="00000000">
      <w:pPr>
        <w:adjustRightInd w:val="0"/>
        <w:ind w:leftChars="150" w:left="360"/>
        <w:rPr>
          <w:rStyle w:val="40"/>
          <w:rFonts w:eastAsiaTheme="minorEastAsia" w:cstheme="minorBidi"/>
          <w:b w:val="0"/>
          <w:bCs w:val="0"/>
          <w:sz w:val="24"/>
          <w:szCs w:val="22"/>
        </w:rPr>
      </w:pPr>
      <w:r>
        <w:rPr>
          <w:b/>
          <w:bCs/>
        </w:rPr>
        <w:t>Volkswagen (VW)</w:t>
      </w:r>
      <w:r>
        <w:t>: Standardized entries by implementing handlers for cases where "VW" appeared as an abbreviation.</w:t>
      </w:r>
    </w:p>
    <w:p w14:paraId="49BC3412" w14:textId="77777777" w:rsidR="0060147C" w:rsidRDefault="00000000">
      <w:pPr>
        <w:pStyle w:val="4"/>
        <w:numPr>
          <w:ilvl w:val="2"/>
          <w:numId w:val="2"/>
        </w:numPr>
        <w:rPr>
          <w:rFonts w:eastAsiaTheme="majorEastAsia"/>
        </w:rPr>
      </w:pPr>
      <w:r>
        <w:rPr>
          <w:rFonts w:eastAsiaTheme="majorEastAsia"/>
        </w:rPr>
        <w:t>Mercedes-Benz Class Processing</w:t>
      </w:r>
      <w:r>
        <w:rPr>
          <w:rFonts w:eastAsia="Calibri" w:cstheme="minorBidi"/>
          <w:b w:val="0"/>
          <w:bCs w:val="0"/>
          <w:sz w:val="24"/>
          <w:szCs w:val="22"/>
        </w:rPr>
        <w:t xml:space="preserve"> </w:t>
      </w:r>
      <w:r>
        <w:rPr>
          <w:rFonts w:eastAsiaTheme="majorEastAsia"/>
        </w:rPr>
        <w:t>Prefix Matching</w:t>
      </w:r>
    </w:p>
    <w:p w14:paraId="542678EB" w14:textId="77777777" w:rsidR="0060147C" w:rsidRDefault="00000000">
      <w:pPr>
        <w:ind w:firstLine="420"/>
        <w:rPr>
          <w:rFonts w:eastAsiaTheme="minorEastAsia"/>
        </w:rPr>
      </w:pPr>
      <w:r>
        <w:rPr>
          <w:rFonts w:eastAsiaTheme="minorEastAsia"/>
        </w:rPr>
        <w:t>We encountered an issue where some car names (e.g., "BMW316i") did not directly match the expected "BMW" brand due to the lack of a space between the brand and model. To address this, we implemented a pattern-based approach to detect entries starting with the prefix "bmw."</w:t>
      </w:r>
      <w:r>
        <w:rPr>
          <w:rFonts w:eastAsiaTheme="minorEastAsia" w:hint="eastAsia"/>
        </w:rPr>
        <w:t xml:space="preserve"> Similarly, we handled the </w:t>
      </w:r>
      <w:r>
        <w:t>"</w:t>
      </w:r>
      <w:r>
        <w:rPr>
          <w:rFonts w:eastAsiaTheme="minorEastAsia" w:hint="eastAsia"/>
        </w:rPr>
        <w:t>g</w:t>
      </w:r>
      <w:r>
        <w:rPr>
          <w:rFonts w:eastAsiaTheme="minorEastAsia"/>
        </w:rPr>
        <w:t>olf</w:t>
      </w:r>
      <w:r>
        <w:t>"</w:t>
      </w:r>
      <w:r>
        <w:rPr>
          <w:rFonts w:eastAsiaTheme="minorEastAsia"/>
        </w:rPr>
        <w:t xml:space="preserve"> model</w:t>
      </w:r>
      <w:r>
        <w:rPr>
          <w:rFonts w:eastAsiaTheme="minorEastAsia" w:hint="eastAsia"/>
        </w:rPr>
        <w:t xml:space="preserve">, </w:t>
      </w:r>
      <w:r>
        <w:t>"</w:t>
      </w:r>
      <w:r>
        <w:rPr>
          <w:rFonts w:eastAsiaTheme="minorEastAsia"/>
        </w:rPr>
        <w:t>vw</w:t>
      </w:r>
      <w:r>
        <w:t>"</w:t>
      </w:r>
      <w:r>
        <w:rPr>
          <w:rFonts w:eastAsiaTheme="minorEastAsia" w:hint="eastAsia"/>
        </w:rPr>
        <w:t xml:space="preserve"> and </w:t>
      </w:r>
      <w:r>
        <w:t>"</w:t>
      </w:r>
      <w:r>
        <w:rPr>
          <w:rFonts w:eastAsiaTheme="minorEastAsia" w:hint="eastAsia"/>
        </w:rPr>
        <w:t>mazda</w:t>
      </w:r>
      <w:r>
        <w:t>"</w:t>
      </w:r>
      <w:r>
        <w:rPr>
          <w:rFonts w:eastAsiaTheme="minorEastAsia" w:hint="eastAsia"/>
        </w:rPr>
        <w:t xml:space="preserve"> using the same logic.</w:t>
      </w:r>
    </w:p>
    <w:p w14:paraId="62F9BC2A" w14:textId="77777777" w:rsidR="0060147C" w:rsidRDefault="00000000">
      <w:pPr>
        <w:pStyle w:val="4"/>
        <w:numPr>
          <w:ilvl w:val="2"/>
          <w:numId w:val="2"/>
        </w:numPr>
      </w:pPr>
      <w:r>
        <w:rPr>
          <w:rFonts w:eastAsiaTheme="majorEastAsia" w:hint="eastAsia"/>
        </w:rPr>
        <w:t>Summary</w:t>
      </w:r>
    </w:p>
    <w:p w14:paraId="21B48D92" w14:textId="77777777" w:rsidR="0060147C" w:rsidRDefault="00000000">
      <w:pPr>
        <w:ind w:firstLine="420"/>
      </w:pPr>
      <w:r>
        <w:rPr>
          <w:rFonts w:eastAsiaTheme="minorEastAsia" w:hint="eastAsia"/>
        </w:rPr>
        <w:t>All these</w:t>
      </w:r>
      <w:r>
        <w:t xml:space="preserve"> specialized handling</w:t>
      </w:r>
      <w:r>
        <w:rPr>
          <w:rFonts w:eastAsiaTheme="minorEastAsia" w:hint="eastAsia"/>
        </w:rPr>
        <w:t>s</w:t>
      </w:r>
      <w:r>
        <w:t xml:space="preserve"> for common patterns across brands helped us accurately resolve ambiguous entries, minimizing errors due to inconsistencies in naming.</w:t>
      </w:r>
    </w:p>
    <w:p w14:paraId="26A7EC9D" w14:textId="77777777" w:rsidR="0060147C" w:rsidRDefault="00000000">
      <w:pPr>
        <w:pStyle w:val="2"/>
        <w:numPr>
          <w:ilvl w:val="0"/>
          <w:numId w:val="1"/>
        </w:numPr>
        <w:jc w:val="center"/>
      </w:pPr>
      <w:r>
        <w:rPr>
          <w:rFonts w:eastAsiaTheme="minorEastAsia" w:hint="eastAsia"/>
          <w:noProof/>
        </w:rPr>
        <w:lastRenderedPageBreak/>
        <w:drawing>
          <wp:anchor distT="0" distB="0" distL="114300" distR="114300" simplePos="0" relativeHeight="251660288" behindDoc="1" locked="0" layoutInCell="1" allowOverlap="1" wp14:anchorId="4076EA8A" wp14:editId="2D10876D">
            <wp:simplePos x="0" y="0"/>
            <wp:positionH relativeFrom="column">
              <wp:posOffset>-829945</wp:posOffset>
            </wp:positionH>
            <wp:positionV relativeFrom="paragraph">
              <wp:posOffset>290830</wp:posOffset>
            </wp:positionV>
            <wp:extent cx="7312660" cy="7353300"/>
            <wp:effectExtent l="0" t="0" r="0" b="0"/>
            <wp:wrapTight wrapText="bothSides">
              <wp:wrapPolygon edited="0">
                <wp:start x="9341" y="485"/>
                <wp:lineTo x="3189" y="634"/>
                <wp:lineTo x="2251" y="709"/>
                <wp:lineTo x="2251" y="10035"/>
                <wp:lineTo x="825" y="10334"/>
                <wp:lineTo x="263" y="10483"/>
                <wp:lineTo x="263" y="11080"/>
                <wp:lineTo x="788" y="11229"/>
                <wp:lineTo x="2251" y="11229"/>
                <wp:lineTo x="2251" y="20891"/>
                <wp:lineTo x="2626" y="21302"/>
                <wp:lineTo x="13280" y="21302"/>
                <wp:lineTo x="13355" y="20667"/>
                <wp:lineTo x="9416" y="20182"/>
                <wp:lineTo x="10053" y="20182"/>
                <wp:lineTo x="13355" y="19697"/>
                <wp:lineTo x="13430" y="19101"/>
                <wp:lineTo x="13055" y="19063"/>
                <wp:lineTo x="12042" y="18989"/>
                <wp:lineTo x="13505" y="18839"/>
                <wp:lineTo x="13467" y="18392"/>
                <wp:lineTo x="14780" y="18392"/>
                <wp:lineTo x="18006" y="17981"/>
                <wp:lineTo x="18044" y="17384"/>
                <wp:lineTo x="17594" y="17347"/>
                <wp:lineTo x="8065" y="17198"/>
                <wp:lineTo x="16956" y="17198"/>
                <wp:lineTo x="17369" y="17161"/>
                <wp:lineTo x="17256" y="16601"/>
                <wp:lineTo x="20820" y="16041"/>
                <wp:lineTo x="20857" y="15780"/>
                <wp:lineTo x="10391" y="15445"/>
                <wp:lineTo x="2438" y="15407"/>
                <wp:lineTo x="17294" y="15109"/>
                <wp:lineTo x="17444" y="14848"/>
                <wp:lineTo x="17781" y="14736"/>
                <wp:lineTo x="17706" y="14512"/>
                <wp:lineTo x="12267" y="14213"/>
                <wp:lineTo x="13767" y="14213"/>
                <wp:lineTo x="17444" y="13803"/>
                <wp:lineTo x="17406" y="13617"/>
                <wp:lineTo x="17894" y="13355"/>
                <wp:lineTo x="17744" y="13206"/>
                <wp:lineTo x="14030" y="13020"/>
                <wp:lineTo x="14555" y="13020"/>
                <wp:lineTo x="19207" y="12497"/>
                <wp:lineTo x="19207" y="12423"/>
                <wp:lineTo x="19657" y="12012"/>
                <wp:lineTo x="19282" y="11863"/>
                <wp:lineTo x="16131" y="11826"/>
                <wp:lineTo x="20332" y="11341"/>
                <wp:lineTo x="20332" y="11229"/>
                <wp:lineTo x="20707" y="10856"/>
                <wp:lineTo x="20332" y="10744"/>
                <wp:lineTo x="9116" y="10632"/>
                <wp:lineTo x="12267" y="10222"/>
                <wp:lineTo x="12379" y="10035"/>
                <wp:lineTo x="15380" y="10035"/>
                <wp:lineTo x="15380" y="9438"/>
                <wp:lineTo x="11967" y="9438"/>
                <wp:lineTo x="12042" y="9289"/>
                <wp:lineTo x="11441" y="9215"/>
                <wp:lineTo x="6302" y="8841"/>
                <wp:lineTo x="14968" y="8841"/>
                <wp:lineTo x="18269" y="8692"/>
                <wp:lineTo x="18306" y="8207"/>
                <wp:lineTo x="12679" y="7648"/>
                <wp:lineTo x="15380" y="7648"/>
                <wp:lineTo x="18344" y="7349"/>
                <wp:lineTo x="18419" y="6902"/>
                <wp:lineTo x="17481" y="6790"/>
                <wp:lineTo x="12679" y="6454"/>
                <wp:lineTo x="19582" y="6118"/>
                <wp:lineTo x="19657" y="5857"/>
                <wp:lineTo x="20069" y="5820"/>
                <wp:lineTo x="20032" y="5521"/>
                <wp:lineTo x="15718" y="5260"/>
                <wp:lineTo x="20670" y="4999"/>
                <wp:lineTo x="20782" y="4738"/>
                <wp:lineTo x="21120" y="4626"/>
                <wp:lineTo x="21007" y="4402"/>
                <wp:lineTo x="11066" y="4066"/>
                <wp:lineTo x="11104" y="4066"/>
                <wp:lineTo x="11141" y="2649"/>
                <wp:lineTo x="10391" y="2537"/>
                <wp:lineTo x="7578" y="2276"/>
                <wp:lineTo x="7653" y="1828"/>
                <wp:lineTo x="7203" y="1791"/>
                <wp:lineTo x="2438" y="1679"/>
                <wp:lineTo x="11892" y="1530"/>
                <wp:lineTo x="12004" y="1306"/>
                <wp:lineTo x="8853" y="1082"/>
                <wp:lineTo x="11929" y="709"/>
                <wp:lineTo x="12079" y="485"/>
                <wp:lineTo x="11254" y="485"/>
                <wp:lineTo x="9341" y="485"/>
              </wp:wrapPolygon>
            </wp:wrapTight>
            <wp:docPr id="1" name="图片 1" descr="横向组织结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横向组织结构图(1)"/>
                    <pic:cNvPicPr>
                      <a:picLocks noChangeAspect="1"/>
                    </pic:cNvPicPr>
                  </pic:nvPicPr>
                  <pic:blipFill>
                    <a:blip r:embed="rId11"/>
                    <a:stretch>
                      <a:fillRect/>
                    </a:stretch>
                  </pic:blipFill>
                  <pic:spPr>
                    <a:xfrm>
                      <a:off x="0" y="0"/>
                      <a:ext cx="7312660" cy="7353300"/>
                    </a:xfrm>
                    <a:prstGeom prst="rect">
                      <a:avLst/>
                    </a:prstGeom>
                  </pic:spPr>
                </pic:pic>
              </a:graphicData>
            </a:graphic>
          </wp:anchor>
        </w:drawing>
      </w:r>
      <w:r>
        <w:t>Code Flow and Logic</w:t>
      </w:r>
    </w:p>
    <w:p w14:paraId="132CFCF5" w14:textId="77777777" w:rsidR="0060147C" w:rsidRDefault="0060147C">
      <w:pPr>
        <w:widowControl/>
        <w:spacing w:line="240" w:lineRule="auto"/>
        <w:rPr>
          <w:rFonts w:eastAsiaTheme="minorEastAsia"/>
        </w:rPr>
      </w:pPr>
    </w:p>
    <w:sectPr w:rsidR="0060147C">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4C966" w14:textId="77777777" w:rsidR="009864E4" w:rsidRDefault="009864E4">
      <w:pPr>
        <w:spacing w:line="240" w:lineRule="auto"/>
      </w:pPr>
      <w:r>
        <w:separator/>
      </w:r>
    </w:p>
  </w:endnote>
  <w:endnote w:type="continuationSeparator" w:id="0">
    <w:p w14:paraId="550EAF2C" w14:textId="77777777" w:rsidR="009864E4" w:rsidRDefault="009864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10C84" w14:textId="77777777" w:rsidR="009864E4" w:rsidRDefault="009864E4">
      <w:r>
        <w:separator/>
      </w:r>
    </w:p>
  </w:footnote>
  <w:footnote w:type="continuationSeparator" w:id="0">
    <w:p w14:paraId="5C38BBAF" w14:textId="77777777" w:rsidR="009864E4" w:rsidRDefault="00986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63550"/>
    <w:multiLevelType w:val="multilevel"/>
    <w:tmpl w:val="03E63550"/>
    <w:lvl w:ilvl="0">
      <w:start w:val="1"/>
      <w:numFmt w:val="decimal"/>
      <w:lvlText w:val="%1"/>
      <w:lvlJc w:val="left"/>
      <w:pPr>
        <w:ind w:left="440" w:hanging="440"/>
      </w:pPr>
      <w:rPr>
        <w:rFonts w:hint="eastAsia"/>
      </w:rPr>
    </w:lvl>
    <w:lvl w:ilvl="1">
      <w:start w:val="1"/>
      <w:numFmt w:val="decimal"/>
      <w:isLgl/>
      <w:lvlText w:val="%1.%2"/>
      <w:lvlJc w:val="left"/>
      <w:pPr>
        <w:ind w:left="720" w:hanging="720"/>
      </w:pPr>
      <w:rPr>
        <w:rFonts w:eastAsiaTheme="minorEastAsia" w:hint="default"/>
      </w:rPr>
    </w:lvl>
    <w:lvl w:ilvl="2">
      <w:start w:val="1"/>
      <w:numFmt w:val="decimal"/>
      <w:lvlText w:val="%3"/>
      <w:lvlJc w:val="left"/>
      <w:pPr>
        <w:ind w:left="440" w:hanging="440"/>
      </w:pPr>
      <w:rPr>
        <w:rFonts w:hint="eastAsia"/>
      </w:rPr>
    </w:lvl>
    <w:lvl w:ilvl="3">
      <w:start w:val="1"/>
      <w:numFmt w:val="decimal"/>
      <w:isLgl/>
      <w:lvlText w:val="%1.%2.%3.%4"/>
      <w:lvlJc w:val="left"/>
      <w:pPr>
        <w:ind w:left="1080" w:hanging="1080"/>
      </w:pPr>
      <w:rPr>
        <w:rFonts w:eastAsiaTheme="minorEastAsia" w:hint="default"/>
      </w:rPr>
    </w:lvl>
    <w:lvl w:ilvl="4">
      <w:start w:val="1"/>
      <w:numFmt w:val="decimal"/>
      <w:isLgl/>
      <w:lvlText w:val="%1.%2.%3.%4.%5"/>
      <w:lvlJc w:val="left"/>
      <w:pPr>
        <w:ind w:left="1440" w:hanging="1440"/>
      </w:pPr>
      <w:rPr>
        <w:rFonts w:eastAsiaTheme="minorEastAsia" w:hint="default"/>
      </w:rPr>
    </w:lvl>
    <w:lvl w:ilvl="5">
      <w:start w:val="1"/>
      <w:numFmt w:val="decimal"/>
      <w:isLgl/>
      <w:lvlText w:val="%1.%2.%3.%4.%5.%6"/>
      <w:lvlJc w:val="left"/>
      <w:pPr>
        <w:ind w:left="1440" w:hanging="1440"/>
      </w:pPr>
      <w:rPr>
        <w:rFonts w:eastAsiaTheme="minorEastAsia" w:hint="default"/>
      </w:rPr>
    </w:lvl>
    <w:lvl w:ilvl="6">
      <w:start w:val="1"/>
      <w:numFmt w:val="decimal"/>
      <w:isLgl/>
      <w:lvlText w:val="%1.%2.%3.%4.%5.%6.%7"/>
      <w:lvlJc w:val="left"/>
      <w:pPr>
        <w:ind w:left="1800" w:hanging="1800"/>
      </w:pPr>
      <w:rPr>
        <w:rFonts w:eastAsiaTheme="minorEastAsia" w:hint="default"/>
      </w:rPr>
    </w:lvl>
    <w:lvl w:ilvl="7">
      <w:start w:val="1"/>
      <w:numFmt w:val="decimal"/>
      <w:isLgl/>
      <w:lvlText w:val="%1.%2.%3.%4.%5.%6.%7.%8"/>
      <w:lvlJc w:val="left"/>
      <w:pPr>
        <w:ind w:left="2160" w:hanging="2160"/>
      </w:pPr>
      <w:rPr>
        <w:rFonts w:eastAsiaTheme="minorEastAsia" w:hint="default"/>
      </w:rPr>
    </w:lvl>
    <w:lvl w:ilvl="8">
      <w:start w:val="1"/>
      <w:numFmt w:val="decimal"/>
      <w:isLgl/>
      <w:lvlText w:val="%1.%2.%3.%4.%5.%6.%7.%8.%9"/>
      <w:lvlJc w:val="left"/>
      <w:pPr>
        <w:ind w:left="2160" w:hanging="2160"/>
      </w:pPr>
      <w:rPr>
        <w:rFonts w:eastAsiaTheme="minorEastAsia" w:hint="default"/>
      </w:rPr>
    </w:lvl>
  </w:abstractNum>
  <w:abstractNum w:abstractNumId="1" w15:restartNumberingAfterBreak="0">
    <w:nsid w:val="560C5B79"/>
    <w:multiLevelType w:val="multilevel"/>
    <w:tmpl w:val="560C5B79"/>
    <w:lvl w:ilvl="0">
      <w:start w:val="2"/>
      <w:numFmt w:val="decimal"/>
      <w:lvlText w:val="%1"/>
      <w:lvlJc w:val="left"/>
      <w:pPr>
        <w:ind w:left="560" w:hanging="560"/>
      </w:pPr>
      <w:rPr>
        <w:rFonts w:cstheme="majorBidi" w:hint="default"/>
        <w:b/>
        <w:sz w:val="28"/>
      </w:rPr>
    </w:lvl>
    <w:lvl w:ilvl="1">
      <w:start w:val="3"/>
      <w:numFmt w:val="decimal"/>
      <w:lvlText w:val="%1.%2"/>
      <w:lvlJc w:val="left"/>
      <w:pPr>
        <w:ind w:left="560" w:hanging="560"/>
      </w:pPr>
      <w:rPr>
        <w:rFonts w:cstheme="majorBidi" w:hint="default"/>
        <w:b/>
        <w:sz w:val="28"/>
      </w:rPr>
    </w:lvl>
    <w:lvl w:ilvl="2">
      <w:start w:val="1"/>
      <w:numFmt w:val="decimal"/>
      <w:lvlText w:val="%1.%2.%3"/>
      <w:lvlJc w:val="left"/>
      <w:pPr>
        <w:ind w:left="720" w:hanging="720"/>
      </w:pPr>
      <w:rPr>
        <w:rFonts w:cstheme="majorBidi" w:hint="default"/>
        <w:b/>
        <w:sz w:val="28"/>
      </w:rPr>
    </w:lvl>
    <w:lvl w:ilvl="3">
      <w:start w:val="1"/>
      <w:numFmt w:val="decimal"/>
      <w:lvlText w:val="%1.%2.%3.%4"/>
      <w:lvlJc w:val="left"/>
      <w:pPr>
        <w:ind w:left="720" w:hanging="720"/>
      </w:pPr>
      <w:rPr>
        <w:rFonts w:cstheme="majorBidi" w:hint="default"/>
        <w:b/>
        <w:sz w:val="28"/>
      </w:rPr>
    </w:lvl>
    <w:lvl w:ilvl="4">
      <w:start w:val="1"/>
      <w:numFmt w:val="decimal"/>
      <w:lvlText w:val="%1.%2.%3.%4.%5"/>
      <w:lvlJc w:val="left"/>
      <w:pPr>
        <w:ind w:left="1080" w:hanging="1080"/>
      </w:pPr>
      <w:rPr>
        <w:rFonts w:cstheme="majorBidi" w:hint="default"/>
        <w:b/>
        <w:sz w:val="28"/>
      </w:rPr>
    </w:lvl>
    <w:lvl w:ilvl="5">
      <w:start w:val="1"/>
      <w:numFmt w:val="decimal"/>
      <w:lvlText w:val="%1.%2.%3.%4.%5.%6"/>
      <w:lvlJc w:val="left"/>
      <w:pPr>
        <w:ind w:left="1080" w:hanging="1080"/>
      </w:pPr>
      <w:rPr>
        <w:rFonts w:cstheme="majorBidi" w:hint="default"/>
        <w:b/>
        <w:sz w:val="28"/>
      </w:rPr>
    </w:lvl>
    <w:lvl w:ilvl="6">
      <w:start w:val="1"/>
      <w:numFmt w:val="decimal"/>
      <w:lvlText w:val="%1.%2.%3.%4.%5.%6.%7"/>
      <w:lvlJc w:val="left"/>
      <w:pPr>
        <w:ind w:left="1440" w:hanging="1440"/>
      </w:pPr>
      <w:rPr>
        <w:rFonts w:cstheme="majorBidi" w:hint="default"/>
        <w:b/>
        <w:sz w:val="28"/>
      </w:rPr>
    </w:lvl>
    <w:lvl w:ilvl="7">
      <w:start w:val="1"/>
      <w:numFmt w:val="decimal"/>
      <w:lvlText w:val="%1.%2.%3.%4.%5.%6.%7.%8"/>
      <w:lvlJc w:val="left"/>
      <w:pPr>
        <w:ind w:left="1440" w:hanging="1440"/>
      </w:pPr>
      <w:rPr>
        <w:rFonts w:cstheme="majorBidi" w:hint="default"/>
        <w:b/>
        <w:sz w:val="28"/>
      </w:rPr>
    </w:lvl>
    <w:lvl w:ilvl="8">
      <w:start w:val="1"/>
      <w:numFmt w:val="decimal"/>
      <w:lvlText w:val="%1.%2.%3.%4.%5.%6.%7.%8.%9"/>
      <w:lvlJc w:val="left"/>
      <w:pPr>
        <w:ind w:left="1800" w:hanging="1800"/>
      </w:pPr>
      <w:rPr>
        <w:rFonts w:cstheme="majorBidi" w:hint="default"/>
        <w:b/>
        <w:sz w:val="28"/>
      </w:rPr>
    </w:lvl>
  </w:abstractNum>
  <w:num w:numId="1" w16cid:durableId="1485583633">
    <w:abstractNumId w:val="0"/>
  </w:num>
  <w:num w:numId="2" w16cid:durableId="1372925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ViY2JkMjU3NGYzZTEwMzZmMGFkZWViYmNkYWU3NDIifQ=="/>
  </w:docVars>
  <w:rsids>
    <w:rsidRoot w:val="006540C0"/>
    <w:rsid w:val="00095604"/>
    <w:rsid w:val="000C33FB"/>
    <w:rsid w:val="00136CD5"/>
    <w:rsid w:val="00141ADA"/>
    <w:rsid w:val="00187AA9"/>
    <w:rsid w:val="00215796"/>
    <w:rsid w:val="0029652B"/>
    <w:rsid w:val="002A2AA0"/>
    <w:rsid w:val="0032353C"/>
    <w:rsid w:val="0034439E"/>
    <w:rsid w:val="00373142"/>
    <w:rsid w:val="003768A7"/>
    <w:rsid w:val="003B37E3"/>
    <w:rsid w:val="003B700B"/>
    <w:rsid w:val="005C5363"/>
    <w:rsid w:val="005E4FBF"/>
    <w:rsid w:val="005F2BFB"/>
    <w:rsid w:val="0060147C"/>
    <w:rsid w:val="0062410D"/>
    <w:rsid w:val="00653713"/>
    <w:rsid w:val="006540C0"/>
    <w:rsid w:val="00670490"/>
    <w:rsid w:val="00764201"/>
    <w:rsid w:val="0078391C"/>
    <w:rsid w:val="007C009B"/>
    <w:rsid w:val="00857FCF"/>
    <w:rsid w:val="008A7731"/>
    <w:rsid w:val="00904421"/>
    <w:rsid w:val="009864E4"/>
    <w:rsid w:val="009A36A5"/>
    <w:rsid w:val="00A23D13"/>
    <w:rsid w:val="00A8688A"/>
    <w:rsid w:val="00AB4121"/>
    <w:rsid w:val="00AE5CAC"/>
    <w:rsid w:val="00AF6EE7"/>
    <w:rsid w:val="00B00A44"/>
    <w:rsid w:val="00B919F2"/>
    <w:rsid w:val="00CA1C17"/>
    <w:rsid w:val="00CF3389"/>
    <w:rsid w:val="00D06693"/>
    <w:rsid w:val="00DD0921"/>
    <w:rsid w:val="00EA414D"/>
    <w:rsid w:val="00EA5DE7"/>
    <w:rsid w:val="00EF5824"/>
    <w:rsid w:val="00F47A2A"/>
    <w:rsid w:val="7BDD01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A1DB9CA"/>
  <w15:docId w15:val="{8376B3E9-35AC-4176-8D53-1606023EC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76" w:lineRule="auto"/>
      <w:jc w:val="both"/>
    </w:pPr>
    <w:rPr>
      <w:rFonts w:ascii="Calibri" w:eastAsia="Calibri" w:hAnsi="Calibri"/>
      <w:kern w:val="2"/>
      <w:sz w:val="24"/>
      <w:szCs w:val="22"/>
    </w:rPr>
  </w:style>
  <w:style w:type="paragraph" w:styleId="1">
    <w:name w:val="heading 1"/>
    <w:basedOn w:val="a"/>
    <w:next w:val="a"/>
    <w:link w:val="10"/>
    <w:uiPriority w:val="9"/>
    <w:qFormat/>
    <w:pPr>
      <w:keepNext/>
      <w:keepLines/>
      <w:adjustRightInd w:val="0"/>
      <w:snapToGrid w:val="0"/>
      <w:spacing w:line="480" w:lineRule="auto"/>
      <w:jc w:val="center"/>
      <w:outlineLvl w:val="0"/>
    </w:pPr>
    <w:rPr>
      <w:b/>
      <w:bCs/>
      <w:kern w:val="44"/>
      <w:sz w:val="36"/>
      <w:szCs w:val="44"/>
    </w:rPr>
  </w:style>
  <w:style w:type="paragraph" w:styleId="2">
    <w:name w:val="heading 2"/>
    <w:basedOn w:val="a"/>
    <w:next w:val="a"/>
    <w:link w:val="20"/>
    <w:uiPriority w:val="9"/>
    <w:unhideWhenUsed/>
    <w:qFormat/>
    <w:pPr>
      <w:keepNext/>
      <w:keepLines/>
      <w:spacing w:line="360" w:lineRule="auto"/>
      <w:jc w:val="left"/>
      <w:outlineLvl w:val="1"/>
    </w:pPr>
    <w:rPr>
      <w:rFonts w:eastAsiaTheme="majorEastAsia" w:cstheme="majorBidi"/>
      <w:b/>
      <w:bCs/>
      <w:sz w:val="32"/>
      <w:szCs w:val="32"/>
    </w:rPr>
  </w:style>
  <w:style w:type="paragraph" w:styleId="3">
    <w:name w:val="heading 3"/>
    <w:basedOn w:val="a"/>
    <w:next w:val="a"/>
    <w:link w:val="30"/>
    <w:uiPriority w:val="9"/>
    <w:unhideWhenUsed/>
    <w:qFormat/>
    <w:pPr>
      <w:keepNext/>
      <w:keepLines/>
      <w:spacing w:line="360" w:lineRule="auto"/>
      <w:outlineLvl w:val="2"/>
    </w:pPr>
    <w:rPr>
      <w:b/>
      <w:bCs/>
      <w:sz w:val="32"/>
      <w:szCs w:val="32"/>
    </w:rPr>
  </w:style>
  <w:style w:type="paragraph" w:styleId="4">
    <w:name w:val="heading 4"/>
    <w:basedOn w:val="a"/>
    <w:next w:val="a"/>
    <w:link w:val="40"/>
    <w:uiPriority w:val="9"/>
    <w:unhideWhenUsed/>
    <w:qFormat/>
    <w:pPr>
      <w:keepNext/>
      <w:keepLines/>
      <w:outlineLvl w:val="3"/>
    </w:pPr>
    <w:rPr>
      <w:rFonts w:eastAsia="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spacing w:before="240" w:after="60"/>
      <w:jc w:val="left"/>
      <w:outlineLvl w:val="0"/>
    </w:pPr>
    <w:rPr>
      <w:rFonts w:ascii="Times New Roman" w:eastAsiaTheme="majorEastAsia" w:hAnsi="Times New Roman" w:cstheme="majorBidi"/>
      <w:b/>
      <w:bCs/>
      <w:sz w:val="32"/>
      <w:szCs w:val="32"/>
    </w:rPr>
  </w:style>
  <w:style w:type="paragraph" w:styleId="a5">
    <w:name w:val="List Paragraph"/>
    <w:basedOn w:val="a"/>
    <w:uiPriority w:val="34"/>
    <w:qFormat/>
    <w:pPr>
      <w:ind w:firstLineChars="200" w:firstLine="420"/>
    </w:pPr>
  </w:style>
  <w:style w:type="character" w:customStyle="1" w:styleId="10">
    <w:name w:val="标题 1 字符"/>
    <w:basedOn w:val="a0"/>
    <w:link w:val="1"/>
    <w:uiPriority w:val="9"/>
    <w:qFormat/>
    <w:rPr>
      <w:rFonts w:ascii="Calibri" w:eastAsia="Calibri" w:hAnsi="Calibri"/>
      <w:b/>
      <w:bCs/>
      <w:kern w:val="44"/>
      <w:sz w:val="36"/>
      <w:szCs w:val="44"/>
    </w:rPr>
  </w:style>
  <w:style w:type="character" w:customStyle="1" w:styleId="20">
    <w:name w:val="标题 2 字符"/>
    <w:basedOn w:val="a0"/>
    <w:link w:val="2"/>
    <w:uiPriority w:val="9"/>
    <w:qFormat/>
    <w:rPr>
      <w:rFonts w:ascii="Calibri" w:eastAsiaTheme="majorEastAsia" w:hAnsi="Calibri" w:cstheme="majorBidi"/>
      <w:b/>
      <w:bCs/>
      <w:sz w:val="32"/>
      <w:szCs w:val="32"/>
    </w:rPr>
  </w:style>
  <w:style w:type="character" w:customStyle="1" w:styleId="a4">
    <w:name w:val="标题 字符"/>
    <w:basedOn w:val="a0"/>
    <w:link w:val="a3"/>
    <w:uiPriority w:val="10"/>
    <w:qFormat/>
    <w:rPr>
      <w:rFonts w:ascii="Times New Roman" w:eastAsiaTheme="majorEastAsia" w:hAnsi="Times New Roman" w:cstheme="majorBidi"/>
      <w:b/>
      <w:bCs/>
      <w:sz w:val="32"/>
      <w:szCs w:val="32"/>
    </w:rPr>
  </w:style>
  <w:style w:type="character" w:customStyle="1" w:styleId="30">
    <w:name w:val="标题 3 字符"/>
    <w:basedOn w:val="a0"/>
    <w:link w:val="3"/>
    <w:uiPriority w:val="9"/>
    <w:qFormat/>
    <w:rPr>
      <w:rFonts w:ascii="Calibri" w:eastAsia="Calibri" w:hAnsi="Calibri"/>
      <w:b/>
      <w:bCs/>
      <w:sz w:val="32"/>
      <w:szCs w:val="32"/>
    </w:rPr>
  </w:style>
  <w:style w:type="character" w:customStyle="1" w:styleId="40">
    <w:name w:val="标题 4 字符"/>
    <w:basedOn w:val="a0"/>
    <w:link w:val="4"/>
    <w:uiPriority w:val="9"/>
    <w:qFormat/>
    <w:rPr>
      <w:rFonts w:ascii="Calibri" w:eastAsia="Times New Roman" w:hAnsi="Calibr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2EA2830-BF70-46F7-A553-1B4D37E17D0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732</Words>
  <Characters>4177</Characters>
  <Application>Microsoft Office Word</Application>
  <DocSecurity>0</DocSecurity>
  <Lines>34</Lines>
  <Paragraphs>9</Paragraphs>
  <ScaleCrop>false</ScaleCrop>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C</dc:creator>
  <cp:lastModifiedBy>Crystal C</cp:lastModifiedBy>
  <cp:revision>3</cp:revision>
  <dcterms:created xsi:type="dcterms:W3CDTF">2024-11-15T11:15:00Z</dcterms:created>
  <dcterms:modified xsi:type="dcterms:W3CDTF">2024-11-15T11:16:00Z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A30D9EA9B5014698AC28A651FCCFFF05_13</vt:lpwstr>
  </property>
</Properties>
</file>